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5075"/>
        <w:gridCol w:w="992"/>
        <w:gridCol w:w="4013"/>
      </w:tblGrid>
      <w:tr>
        <w:tblPrEx/>
        <w:trPr>
          <w:trHeight w:val="623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145" w:leader="none"/>
              </w:tabs>
              <w:rPr>
                <w:spacing w:val="70"/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ge">
                        <wp:posOffset>-194945</wp:posOffset>
                      </wp:positionV>
                      <wp:extent cx="596265" cy="742950"/>
                      <wp:effectExtent l="19050" t="0" r="0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53636395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3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3360;o:allowoverlap:true;o:allowincell:true;mso-position-horizontal-relative:text;margin-left:84.05pt;mso-position-horizontal:absolute;mso-position-vertical-relative:page;margin-top:-15.35pt;mso-position-vertical:absolute;width:46.95pt;height:58.50pt;mso-wrap-distance-left:9.00pt;mso-wrap-distance-top:0.00pt;mso-wrap-distance-right:9.00pt;mso-wrap-distance-bottom:0.00pt;" stroked="f" strokeweight="0.75pt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spacing w:val="70"/>
                <w:sz w:val="28"/>
                <w:szCs w:val="28"/>
              </w:rPr>
            </w:r>
            <w:r>
              <w:rPr>
                <w:spacing w:val="70"/>
                <w:sz w:val="28"/>
                <w:szCs w:val="28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widowControl w:val="off"/>
              <w:tabs>
                <w:tab w:val="left" w:pos="414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ПРИМОРСКИЙ КРАЙ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widowControl w:val="off"/>
              <w:tabs>
                <w:tab w:val="left" w:pos="4145" w:leader="none"/>
              </w:tabs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</w:r>
            <w:r>
              <w:rPr>
                <w:sz w:val="14"/>
                <w:szCs w:val="28"/>
              </w:rPr>
            </w:r>
            <w:r>
              <w:rPr>
                <w:sz w:val="14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16"/>
                <w:szCs w:val="16"/>
              </w:rPr>
              <w:outlineLvl w:val="1"/>
            </w:pPr>
            <w:r>
              <w:rPr>
                <w:b/>
                <w:bCs/>
                <w:spacing w:val="20"/>
                <w:sz w:val="16"/>
                <w:szCs w:val="16"/>
              </w:rPr>
            </w:r>
            <w:r>
              <w:rPr>
                <w:b/>
                <w:bCs/>
                <w:spacing w:val="20"/>
                <w:sz w:val="16"/>
                <w:szCs w:val="16"/>
              </w:rPr>
            </w:r>
            <w:r>
              <w:rPr>
                <w:b/>
                <w:bCs/>
                <w:spacing w:val="20"/>
                <w:sz w:val="16"/>
                <w:szCs w:val="16"/>
              </w:rPr>
            </w:r>
          </w:p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МУНИЦИПАЛЬНОЕ 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КАЗЕННОЕ УЧРЕЖДЕНИЕ УПРАВЛЕНИЕ МУНИЦИПАЛЬНОЙ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СОБСТВЕННОСТИ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  <w:p>
            <w:pPr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jc w:val="center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ул. Кирова, 48/1, г. Артем, Приморский край, 692760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тел. +7 (42337) 4-32-13, факс +7 (42337) 4-32-13,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p>
            <w:pPr>
              <w:jc w:val="center"/>
              <w:spacing w:line="360" w:lineRule="auto"/>
              <w:widowControl w:val="off"/>
              <w:tabs>
                <w:tab w:val="left" w:pos="4145" w:leader="none"/>
              </w:tabs>
              <w:rPr>
                <w:sz w:val="20"/>
                <w:szCs w:val="28"/>
              </w:rPr>
            </w:pPr>
            <w:r/>
            <w:hyperlink r:id="rId12" w:tooltip="mailto:adm@artemokrug.ru" w:history="1">
              <w:r>
                <w:rPr>
                  <w:rStyle w:val="877"/>
                  <w:sz w:val="20"/>
                  <w:szCs w:val="20"/>
                  <w:lang w:val="en-US"/>
                </w:rPr>
                <w:t xml:space="preserve">adm</w:t>
              </w:r>
              <w:r>
                <w:rPr>
                  <w:rStyle w:val="877"/>
                  <w:sz w:val="20"/>
                  <w:szCs w:val="20"/>
                </w:rPr>
                <w:t xml:space="preserve">@</w:t>
              </w:r>
              <w:r>
                <w:rPr>
                  <w:rStyle w:val="877"/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rStyle w:val="877"/>
                  <w:sz w:val="20"/>
                  <w:szCs w:val="20"/>
                </w:rPr>
                <w:t xml:space="preserve">.</w:t>
              </w:r>
              <w:r>
                <w:rPr>
                  <w:rStyle w:val="877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77"/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rStyle w:val="877"/>
                <w:sz w:val="20"/>
                <w:szCs w:val="20"/>
                <w:lang w:val="en-US"/>
              </w:rPr>
              <w:t xml:space="preserve">artemokrug</w:t>
            </w:r>
            <w:r>
              <w:rPr>
                <w:rStyle w:val="877"/>
                <w:sz w:val="20"/>
                <w:szCs w:val="20"/>
              </w:rPr>
              <w:t xml:space="preserve">.</w:t>
            </w:r>
            <w:r>
              <w:rPr>
                <w:rStyle w:val="877"/>
                <w:sz w:val="20"/>
                <w:szCs w:val="20"/>
                <w:lang w:val="en-US"/>
              </w:rPr>
              <w:t xml:space="preserve">gosuslugi</w:t>
            </w:r>
            <w:r>
              <w:rPr>
                <w:rStyle w:val="877"/>
                <w:sz w:val="20"/>
                <w:szCs w:val="20"/>
              </w:rPr>
              <w:t xml:space="preserve">.</w:t>
            </w:r>
            <w:r>
              <w:rPr>
                <w:rStyle w:val="877"/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8"/>
              </w:rPr>
            </w:r>
            <w:r>
              <w:rPr>
                <w:sz w:val="20"/>
                <w:szCs w:val="28"/>
              </w:rPr>
            </w:r>
          </w:p>
          <w:tbl>
            <w:tblPr>
              <w:tblStyle w:val="751"/>
              <w:tblW w:w="0" w:type="auto"/>
              <w:tblInd w:w="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4"/>
              <w:gridCol w:w="1567"/>
              <w:gridCol w:w="234"/>
              <w:gridCol w:w="2351"/>
            </w:tblGrid>
            <w:tr>
              <w:tblPrEx/>
              <w:trPr>
                <w:trHeight w:val="414"/>
              </w:trPr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846" w:type="dxa"/>
                  <w:textDirection w:val="lrTb"/>
                  <w:noWrap w:val="false"/>
                </w:tcPr>
                <w:p>
                  <w:pPr>
                    <w:ind w:left="-283"/>
                    <w:spacing w:line="276" w:lineRule="auto"/>
                    <w:widowControl w:val="off"/>
                    <w:rPr>
                      <w:sz w:val="28"/>
                      <w:szCs w:val="28"/>
                    </w:rPr>
                    <w:framePr w:hSpace="180" w:wrap="around" w:vAnchor="text" w:hAnchor="margin" w:xAlign="center" w:y="-172"/>
                  </w:pPr>
                  <w:r/>
                  <w:bookmarkStart w:id="0" w:name="undefined"/>
                  <w:r/>
                  <w:bookmarkEnd w:id="0"/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283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694" w:type="dxa"/>
                  <w:textDirection w:val="lrTb"/>
                  <w:noWrap w:val="false"/>
                </w:tcPr>
                <w:p>
                  <w:pPr>
                    <w:ind w:hanging="157"/>
                    <w:jc w:val="right"/>
                    <w:spacing w:line="276" w:lineRule="auto"/>
                    <w:widowControl w:val="off"/>
                    <w:rPr>
                      <w:sz w:val="28"/>
                      <w:szCs w:val="28"/>
                    </w:rPr>
                    <w:framePr w:hSpace="180" w:wrap="around" w:vAnchor="text" w:hAnchor="margin" w:xAlign="center" w:y="-172"/>
                  </w:pPr>
                  <w:r>
                    <w:rPr>
                      <w:szCs w:val="28"/>
                    </w:rPr>
                    <w:t xml:space="preserve">На №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1567" w:type="dxa"/>
                  <w:textDirection w:val="lrTb"/>
                  <w:noWrap w:val="false"/>
                </w:tcPr>
                <w:p>
                  <w:pPr>
                    <w:framePr w:hSpace="180" w:wrap="around" w:vAnchor="text" w:hAnchor="margin" w:xAlign="center" w:y="-172"/>
                  </w:pPr>
                  <w:r>
                    <w:t xml:space="preserve"> </w:t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4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sz w:val="28"/>
                      <w:szCs w:val="28"/>
                    </w:rPr>
                    <w:framePr w:hSpace="180" w:wrap="around" w:vAnchor="text" w:hAnchor="margin" w:xAlign="center" w:y="-172"/>
                  </w:pPr>
                  <w:r>
                    <w:rPr>
                      <w:szCs w:val="28"/>
                    </w:rPr>
                    <w:t xml:space="preserve">от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2351" w:type="dxa"/>
                  <w:textDirection w:val="lrTb"/>
                  <w:noWrap w:val="false"/>
                </w:tcPr>
                <w:p>
                  <w:pPr>
                    <w:jc w:val="center"/>
                    <w:spacing w:line="276" w:lineRule="auto"/>
                    <w:widowControl w:val="off"/>
                    <w:rPr>
                      <w:sz w:val="28"/>
                      <w:szCs w:val="28"/>
                    </w:rPr>
                    <w:framePr w:hSpace="180" w:wrap="around" w:vAnchor="text" w:hAnchor="margin" w:xAlign="center" w:y="-172"/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trHeight w:val="533"/>
              </w:trPr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846" w:type="dxa"/>
                  <w:textDirection w:val="lrTb"/>
                  <w:noWrap w:val="false"/>
                </w:tcPr>
                <w:p>
                  <w:r/>
                  <w:r/>
                </w:p>
              </w:tc>
            </w:tr>
          </w:tbl>
          <w:p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013" w:type="dxa"/>
            <w:textDirection w:val="lrTb"/>
            <w:noWrap w:val="false"/>
          </w:tcPr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jc w:val="center"/>
            </w:pPr>
            <w:r/>
            <w:r/>
          </w:p>
        </w:tc>
      </w:tr>
    </w:tbl>
    <w:p>
      <w:pPr>
        <w:ind w:firstLine="567"/>
        <w:jc w:val="both"/>
      </w:pPr>
      <w:r>
        <w:t xml:space="preserve">ПОЯСНИТЕЛЬНАЯ </w:t>
      </w:r>
      <w:r>
        <w:t xml:space="preserve">ЗАПИСКА </w:t>
      </w:r>
      <w:r>
        <w:t xml:space="preserve">к проекту решения Думы Артемовского городского округа «</w:t>
      </w:r>
      <w:r>
        <w:t xml:space="preserve">О</w:t>
      </w:r>
      <w:r>
        <w:t xml:space="preserve">б утверждении перечня имущества</w:t>
      </w:r>
      <w:r>
        <w:t xml:space="preserve">, предлагаемого к передаче из собственности </w:t>
      </w:r>
      <w:r>
        <w:t xml:space="preserve">Буюновской Юлии Петровны</w:t>
      </w:r>
      <w:r>
        <w:t xml:space="preserve"> собственность Артёмовского городского округа</w:t>
      </w:r>
      <w:r>
        <w:t xml:space="preserve">».</w:t>
      </w:r>
      <w:r/>
    </w:p>
    <w:p>
      <w:pPr>
        <w:ind w:firstLine="540"/>
        <w:jc w:val="both"/>
        <w:widowControl w:val="off"/>
      </w:pPr>
      <w:r>
        <w:t xml:space="preserve">На основании</w:t>
      </w:r>
      <w:r>
        <w:t xml:space="preserve"> обраще</w:t>
      </w:r>
      <w:r>
        <w:t xml:space="preserve">ни</w:t>
      </w:r>
      <w:r>
        <w:t xml:space="preserve">я Буюновской Юлии Петровны</w:t>
      </w:r>
      <w:r>
        <w:t xml:space="preserve"> </w:t>
      </w:r>
      <w:r>
        <w:t xml:space="preserve">от </w:t>
      </w:r>
      <w:r>
        <w:t xml:space="preserve">18.04.2024 № Р-01-492</w:t>
      </w:r>
      <w:r>
        <w:t xml:space="preserve">, </w:t>
      </w:r>
      <w:r>
        <w:t xml:space="preserve">п</w:t>
      </w:r>
      <w:r>
        <w:t xml:space="preserve">редла</w:t>
      </w:r>
      <w:r>
        <w:t xml:space="preserve">гается к передаче из собственности</w:t>
      </w:r>
      <w:r>
        <w:t xml:space="preserve"> </w:t>
      </w:r>
      <w:r>
        <w:t xml:space="preserve">Буюновской Юлии Петровны</w:t>
      </w:r>
      <w:r>
        <w:t xml:space="preserve"> </w:t>
      </w:r>
      <w:r>
        <w:t xml:space="preserve">в </w:t>
      </w:r>
      <w:r>
        <w:t xml:space="preserve">собственность Артемовского городского</w:t>
      </w:r>
      <w:r>
        <w:t xml:space="preserve"> округа</w:t>
      </w:r>
      <w:r>
        <w:t xml:space="preserve"> </w:t>
      </w:r>
      <w:r>
        <w:t xml:space="preserve">недвижимое </w:t>
      </w:r>
      <w:r>
        <w:t xml:space="preserve">имущество:</w:t>
      </w:r>
      <w:r/>
    </w:p>
    <w:p>
      <w:pPr>
        <w:pStyle w:val="735"/>
        <w:ind w:left="0" w:firstLine="567"/>
        <w:jc w:val="both"/>
        <w:widowControl w:val="off"/>
      </w:pPr>
      <w:r>
        <w:t xml:space="preserve"> - н</w:t>
      </w:r>
      <w:r>
        <w:t xml:space="preserve">ежилое здание – насосная</w:t>
      </w:r>
      <w:r>
        <w:t xml:space="preserve">, расположенная</w:t>
      </w:r>
      <w:r>
        <w:t xml:space="preserve"> по адресу: П</w:t>
      </w:r>
      <w:r>
        <w:t xml:space="preserve">риморский край, г. Артем,</w:t>
      </w:r>
      <w:r>
        <w:t xml:space="preserve"> </w:t>
      </w:r>
      <w:r>
        <w:t xml:space="preserve">ул. </w:t>
      </w:r>
      <w:r>
        <w:t xml:space="preserve">Гоголя</w:t>
      </w:r>
      <w:r>
        <w:t xml:space="preserve">, 9.</w:t>
      </w:r>
      <w:r/>
    </w:p>
    <w:p>
      <w:pPr>
        <w:pStyle w:val="735"/>
        <w:ind w:left="0" w:firstLine="567"/>
        <w:jc w:val="both"/>
        <w:widowControl w:val="off"/>
      </w:pPr>
      <w:r>
        <w:t xml:space="preserve">В случае принятия объекта</w:t>
      </w:r>
      <w:r>
        <w:t xml:space="preserve"> в муниципальную собственность</w:t>
      </w:r>
      <w:r>
        <w:t xml:space="preserve"> Артемовского городского округа</w:t>
      </w:r>
      <w:bookmarkStart w:id="0" w:name="_GoBack"/>
      <w:r/>
      <w:bookmarkEnd w:id="0"/>
      <w:r>
        <w:t xml:space="preserve">, дополн</w:t>
      </w:r>
      <w:r>
        <w:t xml:space="preserve">ительные расходы не потребуются, в связи с тем, что объект будет передан по договору аренды на обслуживание КГУП «Приморский водоканал».</w:t>
      </w:r>
      <w:r/>
    </w:p>
    <w:p>
      <w:pPr>
        <w:ind w:firstLine="567"/>
        <w:jc w:val="both"/>
      </w:pPr>
      <w:r>
        <w:t xml:space="preserve">Согласно п. 11 ст. 154 Федерального закона от 22.08.2004 № 122-ФЗ «О внесении изменений в законодательные акты Российской </w:t>
      </w:r>
      <w:r>
        <w:t xml:space="preserve">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</w:t>
      </w:r>
      <w:r>
        <w:t xml:space="preserve">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если указанное </w:t>
      </w:r>
      <w:r>
        <w:t xml:space="preserve">имущество</w:t>
      </w:r>
      <w:r>
        <w:t xml:space="preserve"> используется органами местного самоуправления для целей, установленных</w:t>
      </w:r>
      <w:r>
        <w:t xml:space="preserve"> в соответствии с настоящим</w:t>
      </w:r>
      <w:r>
        <w:t xml:space="preserve"> </w:t>
      </w:r>
      <w:r>
        <w:t xml:space="preserve">Федеральным </w:t>
      </w:r>
      <w:r>
        <w:t xml:space="preserve">законом и ст. 63 Феде</w:t>
      </w:r>
      <w:r>
        <w:t xml:space="preserve">рального закона от 20.03.2025 № </w:t>
      </w:r>
      <w:r>
        <w:t xml:space="preserve">33-ФЗ «Об общих принципах организации местного самоуправления в единой системе публичной власти», то </w:t>
      </w:r>
      <w:r>
        <w:t xml:space="preserve">имущество</w:t>
      </w:r>
      <w:r>
        <w:t xml:space="preserve"> подлежит безвозмездной передаче в муниципальную собственность.</w:t>
      </w:r>
      <w:r/>
    </w:p>
    <w:p>
      <w:pPr>
        <w:ind w:firstLine="567"/>
        <w:jc w:val="both"/>
        <w:widowControl w:val="off"/>
      </w:pPr>
      <w:r>
        <w:t xml:space="preserve">В связи с тем, что согласно п. 18 ст. 22 Устава Артемовского городского округа принятие решения </w:t>
      </w:r>
      <w:r>
        <w:t xml:space="preserve">об утверждении перечня имущества, предлагаемого к передаче</w:t>
      </w:r>
      <w:r>
        <w:t xml:space="preserve"> в муниципальную собственность относится к исключительной компетенции Думы Артемовского городского округа, предлагаем принять соответствующее решение.</w:t>
      </w:r>
      <w:r/>
    </w:p>
    <w:p>
      <w:pPr>
        <w:pStyle w:val="895"/>
        <w:ind w:firstLine="0"/>
        <w:spacing w:line="240" w:lineRule="auto"/>
      </w:pPr>
      <w:r/>
      <w:r/>
    </w:p>
    <w:p>
      <w:pPr>
        <w:pStyle w:val="895"/>
        <w:ind w:firstLine="0"/>
        <w:spacing w:line="240" w:lineRule="auto"/>
      </w:pPr>
      <w:r/>
      <w:r/>
    </w:p>
    <w:p>
      <w:pPr>
        <w:pStyle w:val="895"/>
        <w:ind w:firstLine="0"/>
        <w:spacing w:line="240" w:lineRule="auto"/>
      </w:pPr>
      <w:r>
        <w:t xml:space="preserve">Заместитель</w:t>
      </w:r>
      <w:r>
        <w:t xml:space="preserve"> главы администрации-</w:t>
      </w:r>
      <w:r/>
    </w:p>
    <w:p>
      <w:pPr>
        <w:pStyle w:val="895"/>
        <w:ind w:firstLine="0"/>
        <w:spacing w:line="240" w:lineRule="auto"/>
        <w:rPr>
          <w:highlight w:val="none"/>
        </w:rPr>
      </w:pPr>
      <w:r>
        <w:t xml:space="preserve">начальник управления                                                                                 </w:t>
      </w:r>
      <w:r>
        <w:t xml:space="preserve">       </w:t>
      </w:r>
      <w:r>
        <w:t xml:space="preserve">       </w:t>
      </w:r>
      <w:r>
        <w:t xml:space="preserve">Н.С. Железнова</w:t>
      </w:r>
      <w:r/>
      <w:r/>
      <w:r/>
      <w:r/>
      <w:r/>
      <w:r/>
      <w:r/>
    </w:p>
    <w:p>
      <w:pPr>
        <w:pStyle w:val="895"/>
        <w:ind w:firstLine="0"/>
        <w:spacing w:line="240" w:lineRule="auto"/>
      </w:pPr>
      <w:r>
        <w:rPr>
          <w:highlight w:val="none"/>
        </w:rPr>
      </w:r>
      <w:r>
        <w:rPr>
          <w:highlight w:val="none"/>
        </w:rPr>
      </w:r>
    </w:p>
    <w:p>
      <w:pPr>
        <w:pStyle w:val="901"/>
        <w:ind w:firstLine="0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Чернецкая Софья Константиновна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01"/>
        <w:ind w:firstLine="0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3-81-</w:t>
      </w:r>
      <w:r>
        <w:rPr>
          <w:sz w:val="20"/>
          <w:szCs w:val="20"/>
        </w:rPr>
        <w:t xml:space="preserve">69</w:t>
      </w: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0"/>
          <w:szCs w:val="20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09" w:right="567" w:bottom="680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rPr>
        <w:rStyle w:val="897"/>
      </w:rPr>
      <w:framePr w:wrap="around" w:vAnchor="text" w:hAnchor="margin" w:xAlign="center" w:y="1"/>
    </w:pPr>
    <w:r>
      <w:rPr>
        <w:rStyle w:val="897"/>
      </w:rPr>
      <w:fldChar w:fldCharType="begin"/>
    </w:r>
    <w:r>
      <w:rPr>
        <w:rStyle w:val="897"/>
      </w:rPr>
      <w:instrText xml:space="preserve">PAGE  </w:instrText>
    </w:r>
    <w:r>
      <w:rPr>
        <w:rStyle w:val="897"/>
      </w:rPr>
      <w:fldChar w:fldCharType="separate"/>
    </w:r>
    <w:r>
      <w:rPr>
        <w:rStyle w:val="897"/>
      </w:rPr>
      <w:t xml:space="preserve">2</w:t>
    </w:r>
    <w:r>
      <w:rPr>
        <w:rStyle w:val="897"/>
      </w:rPr>
      <w:fldChar w:fldCharType="end"/>
    </w:r>
    <w:r>
      <w:rPr>
        <w:rStyle w:val="897"/>
      </w:rPr>
    </w:r>
    <w:r>
      <w:rPr>
        <w:rStyle w:val="897"/>
      </w:rPr>
    </w:r>
  </w:p>
  <w:p>
    <w:pPr>
      <w:pStyle w:val="7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  <w:rPr>
        <w:rStyle w:val="897"/>
      </w:rPr>
      <w:framePr w:wrap="around" w:vAnchor="text" w:hAnchor="margin" w:xAlign="center" w:y="1"/>
    </w:pPr>
    <w:r>
      <w:rPr>
        <w:rStyle w:val="897"/>
      </w:rPr>
      <w:fldChar w:fldCharType="begin"/>
    </w:r>
    <w:r>
      <w:rPr>
        <w:rStyle w:val="897"/>
      </w:rPr>
      <w:instrText xml:space="preserve">PAGE  </w:instrText>
    </w:r>
    <w:r>
      <w:rPr>
        <w:rStyle w:val="897"/>
      </w:rPr>
      <w:fldChar w:fldCharType="end"/>
    </w:r>
    <w:r>
      <w:rPr>
        <w:rStyle w:val="897"/>
      </w:rPr>
    </w:r>
    <w:r>
      <w:rPr>
        <w:rStyle w:val="897"/>
      </w:rPr>
    </w:r>
  </w:p>
  <w:p>
    <w:pPr>
      <w:pStyle w:val="7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6">
    <w:name w:val="Heading 1 Char"/>
    <w:basedOn w:val="723"/>
    <w:link w:val="714"/>
    <w:uiPriority w:val="9"/>
    <w:rPr>
      <w:rFonts w:ascii="Arial" w:hAnsi="Arial" w:eastAsia="Arial" w:cs="Arial"/>
      <w:sz w:val="40"/>
      <w:szCs w:val="40"/>
    </w:rPr>
  </w:style>
  <w:style w:type="character" w:styleId="697">
    <w:name w:val="Heading 2 Char"/>
    <w:basedOn w:val="723"/>
    <w:link w:val="715"/>
    <w:uiPriority w:val="9"/>
    <w:rPr>
      <w:rFonts w:ascii="Arial" w:hAnsi="Arial" w:eastAsia="Arial" w:cs="Arial"/>
      <w:sz w:val="34"/>
    </w:rPr>
  </w:style>
  <w:style w:type="character" w:styleId="698">
    <w:name w:val="Heading 3 Char"/>
    <w:basedOn w:val="723"/>
    <w:link w:val="716"/>
    <w:uiPriority w:val="9"/>
    <w:rPr>
      <w:rFonts w:ascii="Arial" w:hAnsi="Arial" w:eastAsia="Arial" w:cs="Arial"/>
      <w:sz w:val="30"/>
      <w:szCs w:val="30"/>
    </w:rPr>
  </w:style>
  <w:style w:type="character" w:styleId="699">
    <w:name w:val="Heading 4 Char"/>
    <w:basedOn w:val="723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00">
    <w:name w:val="Heading 5 Char"/>
    <w:basedOn w:val="723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01">
    <w:name w:val="Heading 6 Char"/>
    <w:basedOn w:val="72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02">
    <w:name w:val="Heading 7 Char"/>
    <w:basedOn w:val="723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8 Char"/>
    <w:basedOn w:val="723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04">
    <w:name w:val="Heading 9 Char"/>
    <w:basedOn w:val="723"/>
    <w:link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05">
    <w:name w:val="Title Char"/>
    <w:basedOn w:val="723"/>
    <w:link w:val="737"/>
    <w:uiPriority w:val="10"/>
    <w:rPr>
      <w:sz w:val="48"/>
      <w:szCs w:val="48"/>
    </w:rPr>
  </w:style>
  <w:style w:type="character" w:styleId="706">
    <w:name w:val="Subtitle Char"/>
    <w:basedOn w:val="723"/>
    <w:link w:val="739"/>
    <w:uiPriority w:val="11"/>
    <w:rPr>
      <w:sz w:val="24"/>
      <w:szCs w:val="24"/>
    </w:rPr>
  </w:style>
  <w:style w:type="character" w:styleId="707">
    <w:name w:val="Quote Char"/>
    <w:link w:val="741"/>
    <w:uiPriority w:val="29"/>
    <w:rPr>
      <w:i/>
    </w:rPr>
  </w:style>
  <w:style w:type="character" w:styleId="708">
    <w:name w:val="Intense Quote Char"/>
    <w:link w:val="743"/>
    <w:uiPriority w:val="30"/>
    <w:rPr>
      <w:i/>
    </w:rPr>
  </w:style>
  <w:style w:type="character" w:styleId="709">
    <w:name w:val="Header Char"/>
    <w:basedOn w:val="723"/>
    <w:link w:val="745"/>
    <w:uiPriority w:val="99"/>
  </w:style>
  <w:style w:type="character" w:styleId="710">
    <w:name w:val="Caption Char"/>
    <w:basedOn w:val="723"/>
    <w:link w:val="749"/>
    <w:uiPriority w:val="35"/>
    <w:rPr>
      <w:b/>
      <w:bCs/>
      <w:color w:val="4f81bd" w:themeColor="accent1"/>
      <w:sz w:val="18"/>
      <w:szCs w:val="18"/>
    </w:rPr>
  </w:style>
  <w:style w:type="character" w:styleId="711">
    <w:name w:val="Footnote Text Char"/>
    <w:link w:val="878"/>
    <w:uiPriority w:val="99"/>
    <w:rPr>
      <w:sz w:val="18"/>
    </w:rPr>
  </w:style>
  <w:style w:type="character" w:styleId="712">
    <w:name w:val="Endnote Text Char"/>
    <w:link w:val="881"/>
    <w:uiPriority w:val="99"/>
    <w:rPr>
      <w:sz w:val="20"/>
    </w:rPr>
  </w:style>
  <w:style w:type="paragraph" w:styleId="713" w:default="1">
    <w:name w:val="Normal"/>
    <w:qFormat/>
    <w:rPr>
      <w:sz w:val="24"/>
      <w:szCs w:val="24"/>
      <w:lang w:eastAsia="ru-RU"/>
    </w:rPr>
  </w:style>
  <w:style w:type="paragraph" w:styleId="714">
    <w:name w:val="Heading 1"/>
    <w:basedOn w:val="713"/>
    <w:next w:val="713"/>
    <w:link w:val="726"/>
    <w:qFormat/>
    <w:pPr>
      <w:jc w:val="center"/>
      <w:keepNext/>
      <w:outlineLvl w:val="0"/>
    </w:pPr>
    <w:rPr>
      <w:b/>
      <w:sz w:val="32"/>
      <w:szCs w:val="20"/>
    </w:rPr>
  </w:style>
  <w:style w:type="paragraph" w:styleId="715">
    <w:name w:val="Heading 2"/>
    <w:basedOn w:val="713"/>
    <w:next w:val="713"/>
    <w:link w:val="727"/>
    <w:qFormat/>
    <w:pPr>
      <w:jc w:val="center"/>
      <w:keepNext/>
      <w:outlineLvl w:val="1"/>
    </w:pPr>
    <w:rPr>
      <w:sz w:val="36"/>
      <w:szCs w:val="20"/>
    </w:rPr>
  </w:style>
  <w:style w:type="paragraph" w:styleId="716">
    <w:name w:val="Heading 3"/>
    <w:basedOn w:val="713"/>
    <w:next w:val="713"/>
    <w:link w:val="72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7">
    <w:name w:val="Heading 4"/>
    <w:basedOn w:val="713"/>
    <w:next w:val="713"/>
    <w:link w:val="729"/>
    <w:qFormat/>
    <w:pPr>
      <w:jc w:val="center"/>
      <w:keepNext/>
      <w:outlineLvl w:val="3"/>
    </w:pPr>
    <w:rPr>
      <w:b/>
      <w:szCs w:val="20"/>
    </w:rPr>
  </w:style>
  <w:style w:type="paragraph" w:styleId="718">
    <w:name w:val="Heading 5"/>
    <w:basedOn w:val="713"/>
    <w:next w:val="713"/>
    <w:link w:val="73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9">
    <w:name w:val="Heading 6"/>
    <w:basedOn w:val="713"/>
    <w:next w:val="713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0">
    <w:name w:val="Heading 7"/>
    <w:basedOn w:val="713"/>
    <w:next w:val="713"/>
    <w:link w:val="73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1">
    <w:name w:val="Heading 8"/>
    <w:basedOn w:val="713"/>
    <w:next w:val="713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2">
    <w:name w:val="Heading 9"/>
    <w:basedOn w:val="713"/>
    <w:next w:val="713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 w:default="1">
    <w:name w:val="Default Paragraph Font"/>
    <w:uiPriority w:val="1"/>
    <w:semiHidden/>
    <w:unhideWhenUsed/>
  </w:style>
  <w:style w:type="table" w:styleId="7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5" w:default="1">
    <w:name w:val="No List"/>
    <w:uiPriority w:val="99"/>
    <w:semiHidden/>
    <w:unhideWhenUsed/>
  </w:style>
  <w:style w:type="character" w:styleId="726" w:customStyle="1">
    <w:name w:val="Заголовок 1 Знак"/>
    <w:link w:val="714"/>
    <w:uiPriority w:val="9"/>
    <w:rPr>
      <w:rFonts w:ascii="Arial" w:hAnsi="Arial" w:eastAsia="Arial" w:cs="Arial"/>
      <w:sz w:val="40"/>
      <w:szCs w:val="40"/>
    </w:rPr>
  </w:style>
  <w:style w:type="character" w:styleId="727" w:customStyle="1">
    <w:name w:val="Заголовок 2 Знак"/>
    <w:link w:val="715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link w:val="716"/>
    <w:uiPriority w:val="9"/>
    <w:rPr>
      <w:rFonts w:ascii="Arial" w:hAnsi="Arial" w:eastAsia="Arial" w:cs="Arial"/>
      <w:sz w:val="30"/>
      <w:szCs w:val="30"/>
    </w:rPr>
  </w:style>
  <w:style w:type="character" w:styleId="729" w:customStyle="1">
    <w:name w:val="Заголовок 4 Знак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713"/>
    <w:uiPriority w:val="34"/>
    <w:qFormat/>
    <w:pPr>
      <w:contextualSpacing/>
      <w:ind w:left="720"/>
    </w:pPr>
  </w:style>
  <w:style w:type="paragraph" w:styleId="736">
    <w:name w:val="No Spacing"/>
    <w:uiPriority w:val="1"/>
    <w:qFormat/>
  </w:style>
  <w:style w:type="paragraph" w:styleId="737">
    <w:name w:val="Title"/>
    <w:basedOn w:val="713"/>
    <w:next w:val="713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 w:customStyle="1">
    <w:name w:val="Название Знак"/>
    <w:link w:val="737"/>
    <w:uiPriority w:val="10"/>
    <w:rPr>
      <w:sz w:val="48"/>
      <w:szCs w:val="48"/>
    </w:rPr>
  </w:style>
  <w:style w:type="paragraph" w:styleId="739">
    <w:name w:val="Subtitle"/>
    <w:basedOn w:val="713"/>
    <w:next w:val="713"/>
    <w:link w:val="740"/>
    <w:uiPriority w:val="11"/>
    <w:qFormat/>
    <w:pPr>
      <w:spacing w:before="200" w:after="200"/>
    </w:pPr>
  </w:style>
  <w:style w:type="character" w:styleId="740" w:customStyle="1">
    <w:name w:val="Подзаголовок Знак"/>
    <w:link w:val="739"/>
    <w:uiPriority w:val="11"/>
    <w:rPr>
      <w:sz w:val="24"/>
      <w:szCs w:val="24"/>
    </w:rPr>
  </w:style>
  <w:style w:type="paragraph" w:styleId="741">
    <w:name w:val="Quote"/>
    <w:basedOn w:val="713"/>
    <w:next w:val="713"/>
    <w:link w:val="742"/>
    <w:uiPriority w:val="29"/>
    <w:qFormat/>
    <w:pPr>
      <w:ind w:left="720" w:right="720"/>
    </w:pPr>
    <w:rPr>
      <w:i/>
    </w:rPr>
  </w:style>
  <w:style w:type="character" w:styleId="742" w:customStyle="1">
    <w:name w:val="Цитата 2 Знак"/>
    <w:link w:val="741"/>
    <w:uiPriority w:val="29"/>
    <w:rPr>
      <w:i/>
    </w:rPr>
  </w:style>
  <w:style w:type="paragraph" w:styleId="743">
    <w:name w:val="Intense Quote"/>
    <w:basedOn w:val="713"/>
    <w:next w:val="713"/>
    <w:link w:val="7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 w:customStyle="1">
    <w:name w:val="Выделенная цитата Знак"/>
    <w:link w:val="743"/>
    <w:uiPriority w:val="30"/>
    <w:rPr>
      <w:i/>
    </w:rPr>
  </w:style>
  <w:style w:type="paragraph" w:styleId="745">
    <w:name w:val="Header"/>
    <w:basedOn w:val="713"/>
    <w:link w:val="746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character" w:styleId="746" w:customStyle="1">
    <w:name w:val="Верхний колонтитул Знак"/>
    <w:link w:val="745"/>
    <w:uiPriority w:val="99"/>
  </w:style>
  <w:style w:type="paragraph" w:styleId="747">
    <w:name w:val="Footer"/>
    <w:basedOn w:val="713"/>
    <w:link w:val="75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8" w:customStyle="1">
    <w:name w:val="Footer Char"/>
    <w:uiPriority w:val="99"/>
  </w:style>
  <w:style w:type="paragraph" w:styleId="749">
    <w:name w:val="Caption"/>
    <w:basedOn w:val="713"/>
    <w:next w:val="713"/>
    <w:link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 w:customStyle="1">
    <w:name w:val="Нижний колонтитул Знак"/>
    <w:link w:val="747"/>
    <w:uiPriority w:val="99"/>
  </w:style>
  <w:style w:type="table" w:styleId="75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7">
    <w:name w:val="Hyperlink"/>
    <w:rPr>
      <w:color w:val="auto"/>
      <w:u w:val="none"/>
      <w:vertAlign w:val="baseline"/>
    </w:rPr>
  </w:style>
  <w:style w:type="paragraph" w:styleId="878">
    <w:name w:val="footnote text"/>
    <w:basedOn w:val="713"/>
    <w:link w:val="879"/>
    <w:uiPriority w:val="99"/>
    <w:semiHidden/>
    <w:unhideWhenUsed/>
    <w:pPr>
      <w:spacing w:after="40"/>
    </w:pPr>
    <w:rPr>
      <w:sz w:val="18"/>
    </w:rPr>
  </w:style>
  <w:style w:type="character" w:styleId="879" w:customStyle="1">
    <w:name w:val="Текст сноски Знак"/>
    <w:link w:val="878"/>
    <w:uiPriority w:val="99"/>
    <w:rPr>
      <w:sz w:val="18"/>
    </w:rPr>
  </w:style>
  <w:style w:type="character" w:styleId="880">
    <w:name w:val="footnote reference"/>
    <w:uiPriority w:val="99"/>
    <w:unhideWhenUsed/>
    <w:rPr>
      <w:vertAlign w:val="superscript"/>
    </w:rPr>
  </w:style>
  <w:style w:type="paragraph" w:styleId="881">
    <w:name w:val="endnote text"/>
    <w:basedOn w:val="713"/>
    <w:link w:val="882"/>
    <w:uiPriority w:val="99"/>
    <w:semiHidden/>
    <w:unhideWhenUsed/>
    <w:rPr>
      <w:sz w:val="20"/>
    </w:rPr>
  </w:style>
  <w:style w:type="character" w:styleId="882" w:customStyle="1">
    <w:name w:val="Текст концевой сноски Знак"/>
    <w:link w:val="881"/>
    <w:uiPriority w:val="99"/>
    <w:rPr>
      <w:sz w:val="20"/>
    </w:rPr>
  </w:style>
  <w:style w:type="character" w:styleId="883">
    <w:name w:val="endnote reference"/>
    <w:uiPriority w:val="99"/>
    <w:semiHidden/>
    <w:unhideWhenUsed/>
    <w:rPr>
      <w:vertAlign w:val="superscript"/>
    </w:rPr>
  </w:style>
  <w:style w:type="paragraph" w:styleId="884">
    <w:name w:val="toc 1"/>
    <w:basedOn w:val="713"/>
    <w:next w:val="713"/>
    <w:uiPriority w:val="39"/>
    <w:unhideWhenUsed/>
    <w:pPr>
      <w:spacing w:after="57"/>
    </w:pPr>
  </w:style>
  <w:style w:type="paragraph" w:styleId="88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8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8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8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8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89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89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89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713"/>
    <w:next w:val="713"/>
    <w:uiPriority w:val="99"/>
    <w:unhideWhenUsed/>
  </w:style>
  <w:style w:type="paragraph" w:styleId="895">
    <w:name w:val="Body Text Indent 2"/>
    <w:basedOn w:val="713"/>
    <w:link w:val="900"/>
    <w:pPr>
      <w:ind w:firstLine="540"/>
      <w:jc w:val="both"/>
      <w:spacing w:line="360" w:lineRule="auto"/>
    </w:pPr>
  </w:style>
  <w:style w:type="paragraph" w:styleId="896">
    <w:name w:val="Body Text Indent"/>
    <w:basedOn w:val="713"/>
    <w:pPr>
      <w:ind w:left="283"/>
      <w:spacing w:after="120"/>
    </w:pPr>
  </w:style>
  <w:style w:type="character" w:styleId="897">
    <w:name w:val="page number"/>
    <w:basedOn w:val="723"/>
  </w:style>
  <w:style w:type="paragraph" w:styleId="898">
    <w:name w:val="Balloon Text"/>
    <w:basedOn w:val="713"/>
    <w:semiHidden/>
    <w:rPr>
      <w:rFonts w:ascii="Tahoma" w:hAnsi="Tahoma" w:cs="Tahoma"/>
      <w:sz w:val="16"/>
      <w:szCs w:val="16"/>
    </w:rPr>
  </w:style>
  <w:style w:type="paragraph" w:styleId="899" w:customStyle="1">
    <w:name w:val="Знак"/>
    <w:basedOn w:val="713"/>
    <w:pPr>
      <w:spacing w:after="160" w:line="240" w:lineRule="exact"/>
    </w:pPr>
    <w:rPr>
      <w:rFonts w:ascii="Verdana" w:hAnsi="Verdana"/>
      <w:lang w:val="en-US" w:eastAsia="en-US"/>
    </w:rPr>
  </w:style>
  <w:style w:type="character" w:styleId="900" w:customStyle="1">
    <w:name w:val="Основной текст с отступом 2 Знак"/>
    <w:link w:val="895"/>
    <w:rPr>
      <w:sz w:val="24"/>
      <w:szCs w:val="24"/>
    </w:rPr>
  </w:style>
  <w:style w:type="paragraph" w:styleId="901" w:customStyle="1">
    <w:name w:val="Основной текст с отступом 2"/>
    <w:basedOn w:val="872"/>
    <w:next w:val="881"/>
    <w:link w:val="886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Relationship Id="rId12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КУМИ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chernetskaya</cp:lastModifiedBy>
  <cp:revision>11</cp:revision>
  <dcterms:created xsi:type="dcterms:W3CDTF">2024-07-29T00:45:00Z</dcterms:created>
  <dcterms:modified xsi:type="dcterms:W3CDTF">2025-07-11T04:43:40Z</dcterms:modified>
  <cp:version>983040</cp:version>
</cp:coreProperties>
</file>